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Terms</w:t>
      </w:r>
      <w:r>
        <w:t xml:space="preserve"> </w:t>
      </w:r>
      <w:r>
        <w:t xml:space="preserve">of</w:t>
      </w:r>
      <w:r>
        <w:t xml:space="preserve"> </w:t>
      </w:r>
      <w:r>
        <w:t xml:space="preserve">Service</w:t>
      </w:r>
      <w:r>
        <w:t xml:space="preserve"> </w:t>
      </w:r>
      <w:r>
        <w:t xml:space="preserve">—</w:t>
      </w:r>
      <w:r>
        <w:t xml:space="preserve"> </w:t>
      </w:r>
      <w:r>
        <w:t xml:space="preserve">Short</w:t>
      </w:r>
      <w:r>
        <w:t xml:space="preserve"> </w:t>
      </w:r>
      <w:r>
        <w:t xml:space="preserve">Form</w:t>
      </w:r>
    </w:p>
    <w:p>
      <w:pPr>
        <w:pStyle w:val="Subtitle"/>
      </w:pPr>
      <w:r>
        <w:t xml:space="preserve">Bioprium</w:t>
      </w:r>
      <w:r>
        <w:t xml:space="preserve"> </w:t>
      </w:r>
      <w:r>
        <w:t xml:space="preserve">—</w:t>
      </w:r>
      <w:r>
        <w:t xml:space="preserve"> </w:t>
      </w:r>
      <w:r>
        <w:t xml:space="preserve">[LEGAL</w:t>
      </w:r>
      <w:r>
        <w:t xml:space="preserve"> </w:t>
      </w:r>
      <w:r>
        <w:t xml:space="preserve">ENTITY</w:t>
      </w:r>
      <w:r>
        <w:t xml:space="preserve"> </w:t>
      </w:r>
      <w:r>
        <w:t xml:space="preserve">NAME]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r>
        </w:p>
        <w:p>
          <w:pPr>
            <w:pStyle w:val="TOC1"/>
            <w:tabs>
              <w:tab w:val="right" w:leader="dot" w:pos="9360"/>
            </w:tabs>
            <w:spacing w:after="40"/>
          </w:pPr>
          <w:r>
            <w:rPr>
              <w:noProof/>
            </w:rPr>
            <w:t xml:space="preserve">1. What Bioprium is</w:t>
          </w:r>
        </w:p>
        <w:p>
          <w:pPr>
            <w:pStyle w:val="TOC1"/>
            <w:tabs>
              <w:tab w:val="right" w:leader="dot" w:pos="9360"/>
            </w:tabs>
            <w:spacing w:after="40"/>
          </w:pPr>
          <w:r>
            <w:rPr>
              <w:noProof/>
            </w:rPr>
            <w:t xml:space="preserve">2. Three rules about outputs</w:t>
          </w:r>
        </w:p>
        <w:p>
          <w:pPr>
            <w:pStyle w:val="TOC1"/>
            <w:tabs>
              <w:tab w:val="right" w:leader="dot" w:pos="9360"/>
            </w:tabs>
            <w:spacing w:after="40"/>
          </w:pPr>
          <w:r>
            <w:rPr>
              <w:noProof/>
            </w:rPr>
            <w:t xml:space="preserve">3. Do not send us patient data</w:t>
          </w:r>
        </w:p>
        <w:p>
          <w:pPr>
            <w:pStyle w:val="TOC1"/>
            <w:tabs>
              <w:tab w:val="right" w:leader="dot" w:pos="9360"/>
            </w:tabs>
            <w:spacing w:after="40"/>
          </w:pPr>
          <w:r>
            <w:rPr>
              <w:noProof/>
            </w:rPr>
            <w:t xml:space="preserve">4. What you must not do with it</w:t>
          </w:r>
        </w:p>
        <w:p>
          <w:pPr>
            <w:pStyle w:val="TOC1"/>
            <w:tabs>
              <w:tab w:val="right" w:leader="dot" w:pos="9360"/>
            </w:tabs>
            <w:spacing w:after="40"/>
          </w:pPr>
          <w:r>
            <w:rPr>
              <w:noProof/>
            </w:rPr>
            <w:t xml:space="preserve">5. Eligibility</w:t>
          </w:r>
        </w:p>
        <w:p>
          <w:pPr>
            <w:pStyle w:val="TOC1"/>
            <w:tabs>
              <w:tab w:val="right" w:leader="dot" w:pos="9360"/>
            </w:tabs>
            <w:spacing w:after="40"/>
          </w:pPr>
          <w:r>
            <w:rPr>
              <w:noProof/>
            </w:rPr>
            <w:t xml:space="preserve">6. Your data, your outputs</w:t>
          </w:r>
        </w:p>
        <w:p>
          <w:pPr>
            <w:pStyle w:val="TOC1"/>
            <w:tabs>
              <w:tab w:val="right" w:leader="dot" w:pos="9360"/>
            </w:tabs>
            <w:spacing w:after="40"/>
          </w:pPr>
          <w:r>
            <w:rPr>
              <w:noProof/>
            </w:rPr>
            <w:t xml:space="preserve">7. It’s free, and it’s as-is</w:t>
          </w:r>
        </w:p>
        <w:p>
          <w:pPr>
            <w:pStyle w:val="TOC1"/>
            <w:tabs>
              <w:tab w:val="right" w:leader="dot" w:pos="9360"/>
            </w:tabs>
            <w:spacing w:after="40"/>
          </w:pPr>
          <w:r>
            <w:rPr>
              <w:noProof/>
            </w:rPr>
            <w:t xml:space="preserve">8. Limits on what we owe you</w:t>
          </w:r>
        </w:p>
        <w:p>
          <w:pPr>
            <w:pStyle w:val="TOC1"/>
            <w:tabs>
              <w:tab w:val="right" w:leader="dot" w:pos="9360"/>
            </w:tabs>
            <w:spacing w:after="40"/>
          </w:pPr>
          <w:r>
            <w:rPr>
              <w:noProof/>
            </w:rPr>
            <w:t xml:space="preserve">9. Disputes</w:t>
          </w:r>
        </w:p>
        <w:p>
          <w:pPr>
            <w:pStyle w:val="TOC1"/>
            <w:tabs>
              <w:tab w:val="right" w:leader="dot" w:pos="9360"/>
            </w:tabs>
            <w:spacing w:after="40"/>
          </w:pPr>
          <w:r>
            <w:rPr>
              <w:noProof/>
            </w:rPr>
            <w:t xml:space="preserve">10. Changes and ending</w:t>
          </w:r>
        </w:p>
        <w:p>
          <w:r>
            <w:fldChar w:fldCharType="end"/>
          </w:r>
        </w:p>
      </w:sdtContent>
    </w:sdt>
    <w:p>
      <w:r>
        <w:br w:type="page"/>
      </w:r>
    </w:p>
    <w:p>
      <w:pPr>
        <w:pStyle w:val="BlockText"/>
      </w:pPr>
      <w:r>
        <w:rPr>
          <w:bCs/>
          <w:b/>
        </w:rPr>
        <w:t xml:space="preserve">DRAFT — FOR COUNSEL REVIEW ONLY.</w:t>
      </w:r>
      <w:r>
        <w:t xml:space="preserve"> </w:t>
      </w:r>
      <w:r>
        <w:t xml:space="preserve">Prepared with AI assistance and not reviewed by a licensed attorney. Not legal advice. Every bracketed placeholder must be resolved before publication.</w:t>
      </w:r>
    </w:p>
    <w:p>
      <w:pPr>
        <w:pStyle w:val="FirstParagraph"/>
      </w:pPr>
      <w:r>
        <w:rPr>
          <w:bCs/>
          <w:b/>
        </w:rPr>
        <w:t xml:space="preserve">Effective Date:</w:t>
      </w:r>
      <w:r>
        <w:t xml:space="preserve"> </w:t>
      </w:r>
      <w:r>
        <w:t xml:space="preserve">[EFFECTIVE DATE] ·</w:t>
      </w:r>
      <w:r>
        <w:t xml:space="preserve"> </w:t>
      </w:r>
      <w:r>
        <w:rPr>
          <w:bCs/>
          <w:b/>
        </w:rPr>
        <w:t xml:space="preserve">Version:</w:t>
      </w:r>
      <w:r>
        <w:t xml:space="preserve"> </w:t>
      </w:r>
      <w:r>
        <w:t xml:space="preserve">1.0</w:t>
      </w:r>
    </w:p>
    <w:p>
      <w:pPr>
        <w:pStyle w:val="BodyText"/>
      </w:pPr>
      <w:r>
        <w:t xml:space="preserve">This page summarises the agreement between you and</w:t>
      </w:r>
      <w:r>
        <w:t xml:space="preserve"> </w:t>
      </w:r>
      <w:r>
        <w:rPr>
          <w:bCs/>
          <w:b/>
        </w:rPr>
        <w:t xml:space="preserve">[LEGAL ENTITY NAME]</w:t>
      </w:r>
      <w:r>
        <w:t xml:space="preserve"> </w:t>
      </w:r>
      <w:r>
        <w:t xml:space="preserve">(</w:t>
      </w:r>
      <w:r>
        <w:t xml:space="preserve">“</w:t>
      </w:r>
      <w:r>
        <w:t xml:space="preserve">Bioprium</w:t>
      </w:r>
      <w:r>
        <w:t xml:space="preserve">”</w:t>
      </w:r>
      <w:r>
        <w:t xml:space="preserve">). By creating an account or using Bioprium you agree to it</w:t>
      </w:r>
      <w:r>
        <w:t xml:space="preserve"> </w:t>
      </w:r>
      <w:r>
        <w:rPr>
          <w:bCs/>
          <w:b/>
        </w:rPr>
        <w:t xml:space="preserve">and to the full Terms of Service at [FULL TERMS URL]</w:t>
      </w:r>
      <w:r>
        <w:t xml:space="preserve">, which govern if the two ever differ. Our Privacy Policy is at [PRIVACY POLICY URL].</w:t>
      </w:r>
    </w:p>
    <w:p>
      <w:r>
        <w:pict>
          <v:rect style="width:0;height:1.5pt" o:hralign="center" o:hrstd="t" o:hr="t"/>
        </w:pict>
      </w:r>
    </w:p>
    <w:bookmarkStart w:id="20" w:name="what-bioprium-is"/>
    <w:p>
      <w:pPr>
        <w:pStyle w:val="Heading1"/>
      </w:pPr>
      <w:r>
        <w:t xml:space="preserve">1. What Bioprium is</w:t>
      </w:r>
    </w:p>
    <w:p>
      <w:pPr>
        <w:pStyle w:val="FirstParagraph"/>
      </w:pPr>
      <w:r>
        <w:t xml:space="preserve">Software that designs guide RNAs and analyses off-target risk. It is a tool for qualified professionals. It is</w:t>
      </w:r>
      <w:r>
        <w:t xml:space="preserve"> </w:t>
      </w:r>
      <w:r>
        <w:rPr>
          <w:bCs/>
          <w:b/>
        </w:rPr>
        <w:t xml:space="preserve">not</w:t>
      </w:r>
      <w:r>
        <w:t xml:space="preserve"> </w:t>
      </w:r>
      <w:r>
        <w:t xml:space="preserve">a diagnosis, a clinical laboratory result, or medical advice. Bioprium is not CLIA-certified and its outputs are not FDA-cleared.</w:t>
      </w:r>
    </w:p>
    <w:bookmarkEnd w:id="20"/>
    <w:bookmarkStart w:id="21" w:name="three-rules-about-outputs"/>
    <w:p>
      <w:pPr>
        <w:pStyle w:val="Heading1"/>
      </w:pPr>
      <w:r>
        <w:t xml:space="preserve">2. Three rules about outputs</w:t>
      </w:r>
    </w:p>
    <w:p>
      <w:pPr>
        <w:pStyle w:val="FirstParagraph"/>
      </w:pPr>
      <w:r>
        <w:rPr>
          <w:bCs/>
          <w:b/>
        </w:rPr>
        <w:t xml:space="preserve">A qualified professional must independently review any output before it informs a decision about a person.</w:t>
      </w:r>
      <w:r>
        <w:t xml:space="preserve"> </w:t>
      </w:r>
      <w:r>
        <w:t xml:space="preserve">Bioprium does not make decisions on its own and is not built for autonomous use.</w:t>
      </w:r>
    </w:p>
    <w:p>
      <w:pPr>
        <w:pStyle w:val="BodyText"/>
      </w:pPr>
      <w:r>
        <w:rPr>
          <w:bCs/>
          <w:b/>
        </w:rPr>
        <w:t xml:space="preserve">No guide RNA may be used in any therapeutic application in any person without wet-lab confirmation first.</w:t>
      </w:r>
      <w:r>
        <w:t xml:space="preserve"> </w:t>
      </w:r>
      <w:r>
        <w:t xml:space="preserve">Computational off-target prediction is incomplete: the absence of a predicted off-target site is not evidence that none exists.</w:t>
      </w:r>
    </w:p>
    <w:p>
      <w:pPr>
        <w:pStyle w:val="BodyText"/>
      </w:pPr>
      <w:r>
        <w:rPr>
          <w:bCs/>
          <w:b/>
        </w:rPr>
        <w:t xml:space="preserve">Predictive results reach patients only through a clinician or genetic counsellor.</w:t>
      </w:r>
      <w:r>
        <w:t xml:space="preserve"> </w:t>
      </w:r>
      <w:r>
        <w:t xml:space="preserve">Bioprium can measure CAG repeat length at the</w:t>
      </w:r>
      <w:r>
        <w:t xml:space="preserve"> </w:t>
      </w:r>
      <w:r>
        <w:rPr>
          <w:iCs/>
          <w:i/>
        </w:rPr>
        <w:t xml:space="preserve">HTT</w:t>
      </w:r>
      <w:r>
        <w:t xml:space="preserve"> </w:t>
      </w:r>
      <w:r>
        <w:t xml:space="preserve">locus, which indicates whether a person will develop Huntington’s disease. You may not deliver that or any comparable predictive result to a patient or participant yourself. You are responsible for honouring a person’s right not to know, and for handling incidental findings and what a result implies about their relatives.</w:t>
      </w:r>
    </w:p>
    <w:bookmarkEnd w:id="21"/>
    <w:bookmarkStart w:id="22" w:name="do-not-send-us-patient-data"/>
    <w:p>
      <w:pPr>
        <w:pStyle w:val="Heading1"/>
      </w:pPr>
      <w:r>
        <w:t xml:space="preserve">3. Do not send us patient data</w:t>
      </w:r>
    </w:p>
    <w:p>
      <w:pPr>
        <w:pStyle w:val="FirstParagraph"/>
      </w:pPr>
      <w:r>
        <w:t xml:space="preserve">Do not upload or send protected health information, identifiable genomic data, or any patient-derived file — by any channel. If your organization needs that, we need a signed Master Services Agreement and Business Associate Agreement first. Contact</w:t>
      </w:r>
      <w:r>
        <w:t xml:space="preserve"> </w:t>
      </w:r>
      <w:r>
        <w:rPr>
          <w:bCs/>
          <w:b/>
        </w:rPr>
        <w:t xml:space="preserve">legal@[DOMAIN]</w:t>
      </w:r>
      <w:r>
        <w:t xml:space="preserve">.</w:t>
      </w:r>
    </w:p>
    <w:p>
      <w:pPr>
        <w:pStyle w:val="BodyText"/>
      </w:pPr>
      <w:r>
        <w:t xml:space="preserve">If you send it anyway we will not process it. We will isolate it, tell your organization, and securely destroy it, and we may suspend or close your account.</w:t>
      </w:r>
      <w:r>
        <w:t xml:space="preserve"> </w:t>
      </w:r>
      <w:r>
        <w:rPr>
          <w:bCs/>
          <w:b/>
        </w:rPr>
        <w:t xml:space="preserve">Receiving data you should not have sent does not make us your business associate, does not waive this section, and does not oblige us to process anything.</w:t>
      </w:r>
    </w:p>
    <w:bookmarkEnd w:id="22"/>
    <w:bookmarkStart w:id="23" w:name="what-you-must-not-do-with-it"/>
    <w:p>
      <w:pPr>
        <w:pStyle w:val="Heading1"/>
      </w:pPr>
      <w:r>
        <w:t xml:space="preserve">4. What you must not do with it</w:t>
      </w:r>
    </w:p>
    <w:p>
      <w:pPr>
        <w:pStyle w:val="FirstParagraph"/>
      </w:pPr>
      <w:r>
        <w:t xml:space="preserve">You may not use Bioprium or anything it produces for:</w:t>
      </w:r>
    </w:p>
    <w:p>
      <w:pPr>
        <w:numPr>
          <w:ilvl w:val="0"/>
          <w:numId w:val="1001"/>
        </w:numPr>
        <w:pStyle w:val="Compact"/>
      </w:pPr>
      <w:r>
        <w:rPr>
          <w:bCs/>
          <w:b/>
        </w:rPr>
        <w:t xml:space="preserve">Heritable human genome editing</w:t>
      </w:r>
      <w:r>
        <w:t xml:space="preserve"> </w:t>
      </w:r>
      <w:r>
        <w:t xml:space="preserve">— editing embryos, gametes, or germline cells where the change could pass to future generations.</w:t>
      </w:r>
    </w:p>
    <w:p>
      <w:pPr>
        <w:numPr>
          <w:ilvl w:val="0"/>
          <w:numId w:val="1001"/>
        </w:numPr>
        <w:pStyle w:val="Compact"/>
      </w:pPr>
      <w:r>
        <w:rPr>
          <w:bCs/>
          <w:b/>
        </w:rPr>
        <w:t xml:space="preserve">Biosecurity harms</w:t>
      </w:r>
      <w:r>
        <w:t xml:space="preserve"> </w:t>
      </w:r>
      <w:r>
        <w:t xml:space="preserve">— enhancing pathogens, developing biological weapons, engineering environmental gene drives, or evading synthesis screening.</w:t>
      </w:r>
    </w:p>
    <w:p>
      <w:pPr>
        <w:numPr>
          <w:ilvl w:val="0"/>
          <w:numId w:val="1001"/>
        </w:numPr>
        <w:pStyle w:val="Compact"/>
      </w:pPr>
      <w:r>
        <w:rPr>
          <w:bCs/>
          <w:b/>
        </w:rPr>
        <w:t xml:space="preserve">Analysing anyone’s genome without their consent</w:t>
      </w:r>
      <w:r>
        <w:t xml:space="preserve">, or beyond the consent they gave.</w:t>
      </w:r>
    </w:p>
    <w:p>
      <w:pPr>
        <w:numPr>
          <w:ilvl w:val="0"/>
          <w:numId w:val="1001"/>
        </w:numPr>
        <w:pStyle w:val="Compact"/>
      </w:pPr>
      <w:r>
        <w:rPr>
          <w:bCs/>
          <w:b/>
        </w:rPr>
        <w:t xml:space="preserve">Identifying people</w:t>
      </w:r>
      <w:r>
        <w:t xml:space="preserve"> </w:t>
      </w:r>
      <w:r>
        <w:t xml:space="preserve">— forensic identification, familial searching, or investigative genetic genealogy.</w:t>
      </w:r>
    </w:p>
    <w:p>
      <w:pPr>
        <w:numPr>
          <w:ilvl w:val="0"/>
          <w:numId w:val="1001"/>
        </w:numPr>
        <w:pStyle w:val="Compact"/>
      </w:pPr>
      <w:r>
        <w:rPr>
          <w:bCs/>
          <w:b/>
        </w:rPr>
        <w:t xml:space="preserve">Discrimination</w:t>
      </w:r>
      <w:r>
        <w:t xml:space="preserve"> </w:t>
      </w:r>
      <w:r>
        <w:t xml:space="preserve">— decisions about employment, insurance, credit, housing, education, or immigration.</w:t>
      </w:r>
    </w:p>
    <w:p>
      <w:pPr>
        <w:pStyle w:val="FirstParagraph"/>
      </w:pPr>
      <w:r>
        <w:rPr>
          <w:bCs/>
          <w:b/>
        </w:rPr>
        <w:t xml:space="preserve">Breaking any of the five rules above ends your access immediately, with no notice and no chance to fix it.</w:t>
      </w:r>
    </w:p>
    <w:p>
      <w:pPr>
        <w:pStyle w:val="BodyText"/>
      </w:pPr>
      <w:r>
        <w:t xml:space="preserve">Separately, you may not reverse engineer the software, resell access, publish our thresholds or scoring functions, describe a computational output as</w:t>
      </w:r>
      <w:r>
        <w:t xml:space="preserve"> </w:t>
      </w:r>
      <w:r>
        <w:t xml:space="preserve">“</w:t>
      </w:r>
      <w:r>
        <w:t xml:space="preserve">validated,</w:t>
      </w:r>
      <w:r>
        <w:t xml:space="preserve">”</w:t>
      </w:r>
      <w:r>
        <w:t xml:space="preserve"> </w:t>
      </w:r>
      <w:r>
        <w:t xml:space="preserve">or</w:t>
      </w:r>
      <w:r>
        <w:t xml:space="preserve"> </w:t>
      </w:r>
      <w:r>
        <w:rPr>
          <w:bCs/>
          <w:b/>
        </w:rPr>
        <w:t xml:space="preserve">switch off the safety behaviours</w:t>
      </w:r>
      <w:r>
        <w:t xml:space="preserve"> </w:t>
      </w:r>
      <w:r>
        <w:t xml:space="preserve">— the points where Bioprium is configured to refuse or to flag rather than guess. Which of those are active depends on your deployment, and the full Terms §4.3 lists them along with their current limits. Suppress a quality gate or lower a selectivity threshold and you own what follows. For these, we give you written notice and</w:t>
      </w:r>
      <w:r>
        <w:t xml:space="preserve"> </w:t>
      </w:r>
      <w:r>
        <w:rPr>
          <w:bCs/>
          <w:b/>
        </w:rPr>
        <w:t xml:space="preserve">[15] days</w:t>
      </w:r>
      <w:r>
        <w:t xml:space="preserve"> </w:t>
      </w:r>
      <w:r>
        <w:t xml:space="preserve">to put it right before we can terminate.</w:t>
      </w:r>
    </w:p>
    <w:p>
      <w:pPr>
        <w:pStyle w:val="BodyText"/>
      </w:pPr>
      <w:r>
        <w:t xml:space="preserve">Some of these obligations continue after your account closes.</w:t>
      </w:r>
    </w:p>
    <w:bookmarkEnd w:id="23"/>
    <w:bookmarkStart w:id="24" w:name="eligibility"/>
    <w:p>
      <w:pPr>
        <w:pStyle w:val="Heading1"/>
      </w:pPr>
      <w:r>
        <w:t xml:space="preserve">5. Eligibility</w:t>
      </w:r>
    </w:p>
    <w:p>
      <w:pPr>
        <w:pStyle w:val="FirstParagraph"/>
      </w:pPr>
      <w:r>
        <w:t xml:space="preserve">You must be 18 or older, have authority to accept these terms for whoever you represent, and not be barred by sanctions or export law. Bioprium is not for members of the public looking into their own health.</w:t>
      </w:r>
      <w:r>
        <w:t xml:space="preserve"> </w:t>
      </w:r>
      <w:r>
        <w:rPr>
          <w:bCs/>
          <w:b/>
        </w:rPr>
        <w:t xml:space="preserve">Some countries restrict moving human genomic data across their borders</w:t>
      </w:r>
      <w:r>
        <w:t xml:space="preserve"> </w:t>
      </w:r>
      <w:r>
        <w:t xml:space="preserve">independently of privacy law — check your own jurisdiction before you use Bioprium.</w:t>
      </w:r>
    </w:p>
    <w:bookmarkEnd w:id="24"/>
    <w:bookmarkStart w:id="25" w:name="your-data-your-outputs"/>
    <w:p>
      <w:pPr>
        <w:pStyle w:val="Heading1"/>
      </w:pPr>
      <w:r>
        <w:t xml:space="preserve">6. Your data, your outputs</w:t>
      </w:r>
    </w:p>
    <w:p>
      <w:pPr>
        <w:pStyle w:val="FirstParagraph"/>
      </w:pPr>
      <w:r>
        <w:t xml:space="preserve">You own what you submit and what Bioprium produces from it. We use it to run the service for you — never to sell, never for advertising, never to train models in identifiable form.</w:t>
      </w:r>
    </w:p>
    <w:p>
      <w:pPr>
        <w:pStyle w:val="BodyText"/>
      </w:pPr>
      <w:r>
        <w:t xml:space="preserve">We may use</w:t>
      </w:r>
      <w:r>
        <w:t xml:space="preserve"> </w:t>
      </w:r>
      <w:r>
        <w:rPr>
          <w:bCs/>
          <w:b/>
        </w:rPr>
        <w:t xml:space="preserve">de-identified and aggregate</w:t>
      </w:r>
      <w:r>
        <w:t xml:space="preserve"> </w:t>
      </w:r>
      <w:r>
        <w:t xml:space="preserve">data to operate, secure, and improve Bioprium,</w:t>
      </w:r>
      <w:r>
        <w:t xml:space="preserve"> </w:t>
      </w:r>
      <w:r>
        <w:rPr>
          <w:bCs/>
          <w:b/>
        </w:rPr>
        <w:t xml:space="preserve">and for research and publication</w:t>
      </w:r>
      <w:r>
        <w:t xml:space="preserve">, provided it identifies no one. Email</w:t>
      </w:r>
      <w:r>
        <w:t xml:space="preserve"> </w:t>
      </w:r>
      <w:r>
        <w:rPr>
          <w:bCs/>
          <w:b/>
        </w:rPr>
        <w:t xml:space="preserve">privacy@[DOMAIN]</w:t>
      </w:r>
      <w:r>
        <w:t xml:space="preserve"> </w:t>
      </w:r>
      <w:r>
        <w:t xml:space="preserve">to opt out, at no cost and with no effect on your access. If you send us feedback or feature requests, we can use it freely.</w:t>
      </w:r>
    </w:p>
    <w:bookmarkEnd w:id="25"/>
    <w:bookmarkStart w:id="26" w:name="its-free-and-its-as-is"/>
    <w:p>
      <w:pPr>
        <w:pStyle w:val="Heading1"/>
      </w:pPr>
      <w:r>
        <w:t xml:space="preserve">7. It’s free, and it’s as-is</w:t>
      </w:r>
    </w:p>
    <w:p>
      <w:pPr>
        <w:pStyle w:val="FirstParagraph"/>
      </w:pPr>
      <w:r>
        <w:t xml:space="preserve">Bioprium is free right now. We can change or stop it at any time, and we make no uptime or support promises. Anything labelled beta or preview may break or disappear.</w:t>
      </w:r>
    </w:p>
    <w:p>
      <w:pPr>
        <w:pStyle w:val="BodyText"/>
      </w:pPr>
      <w:r>
        <w:rPr>
          <w:bCs/>
          <w:b/>
        </w:rPr>
        <w:t xml:space="preserve">We will never turn a free account into a paid one silently</w:t>
      </w:r>
      <w:r>
        <w:t xml:space="preserve"> </w:t>
      </w:r>
      <w:r>
        <w:t xml:space="preserve">— any charge needs at least</w:t>
      </w:r>
      <w:r>
        <w:t xml:space="preserve"> </w:t>
      </w:r>
      <w:r>
        <w:rPr>
          <w:bCs/>
          <w:b/>
        </w:rPr>
        <w:t xml:space="preserve">[30] days’</w:t>
      </w:r>
      <w:r>
        <w:t xml:space="preserve"> </w:t>
      </w:r>
      <w:r>
        <w:t xml:space="preserve">notice and your separate agreement. If you do nothing, your access ends or continues free; it does not become a bill.</w:t>
      </w:r>
    </w:p>
    <w:p>
      <w:pPr>
        <w:pStyle w:val="BodyText"/>
      </w:pPr>
      <w:r>
        <w:rPr>
          <w:bCs/>
          <w:b/>
        </w:rPr>
        <w:t xml:space="preserve">The service is provided</w:t>
      </w:r>
      <w:r>
        <w:rPr>
          <w:bCs/>
          <w:b/>
        </w:rPr>
        <w:t xml:space="preserve"> </w:t>
      </w:r>
      <w:r>
        <w:rPr>
          <w:bCs/>
          <w:b/>
        </w:rPr>
        <w:t xml:space="preserve">“</w:t>
      </w:r>
      <w:r>
        <w:rPr>
          <w:bCs/>
          <w:b/>
        </w:rPr>
        <w:t xml:space="preserve">as is,</w:t>
      </w:r>
      <w:r>
        <w:rPr>
          <w:bCs/>
          <w:b/>
        </w:rPr>
        <w:t xml:space="preserve">”</w:t>
      </w:r>
      <w:r>
        <w:rPr>
          <w:bCs/>
          <w:b/>
        </w:rPr>
        <w:t xml:space="preserve"> </w:t>
      </w:r>
      <w:r>
        <w:rPr>
          <w:bCs/>
          <w:b/>
        </w:rPr>
        <w:t xml:space="preserve">with no warranty of any kind.</w:t>
      </w:r>
      <w:r>
        <w:t xml:space="preserve"> </w:t>
      </w:r>
      <w:r>
        <w:t xml:space="preserve">We do not warrant that any output is accurate, reproducible, or clinically valid, that any guide will perform as predicted, or that any off-target analysis is complete.</w:t>
      </w:r>
    </w:p>
    <w:bookmarkEnd w:id="26"/>
    <w:bookmarkStart w:id="27" w:name="limits-on-what-we-owe-you"/>
    <w:p>
      <w:pPr>
        <w:pStyle w:val="Heading1"/>
      </w:pPr>
      <w:r>
        <w:t xml:space="preserve">8. Limits on what we owe you</w:t>
      </w:r>
    </w:p>
    <w:p>
      <w:pPr>
        <w:pStyle w:val="FirstParagraph"/>
      </w:pPr>
      <w:r>
        <w:t xml:space="preserve">Our total liability to you — and to anyone claiming through us, including our people and licensors — is capped at what you paid us in the last 12 months, or</w:t>
      </w:r>
      <w:r>
        <w:t xml:space="preserve"> </w:t>
      </w:r>
      <w:r>
        <w:rPr>
          <w:bCs/>
          <w:b/>
        </w:rPr>
        <w:t xml:space="preserve">US$100</w:t>
      </w:r>
      <w:r>
        <w:t xml:space="preserve">, whichever is greater. Since Bioprium is free, that will usually mean US$100. We are not liable for indirect or consequential losses.</w:t>
      </w:r>
    </w:p>
    <w:p>
      <w:pPr>
        <w:pStyle w:val="BodyText"/>
      </w:pPr>
      <w:r>
        <w:rPr>
          <w:bCs/>
          <w:b/>
        </w:rPr>
        <w:t xml:space="preserve">Nothing here limits liability the law does not allow us to limit</w:t>
      </w:r>
      <w:r>
        <w:t xml:space="preserve">, including for death or personal injury caused by negligence, for fraud, and for gross negligence or wilful misconduct wherever the law does not permit those to be excluded.</w:t>
      </w:r>
    </w:p>
    <w:p>
      <w:pPr>
        <w:pStyle w:val="BodyText"/>
      </w:pPr>
      <w:r>
        <w:t xml:space="preserve">You cover us for claims arising from your breach of these terms, from the data you submit (including any claim it was submitted without proper consent or authority), from clinical decisions or therapeutic use of an output, from any configuration that suppresses a safety behaviour, and from anyone getting in through your credentials —</w:t>
      </w:r>
      <w:r>
        <w:t xml:space="preserve"> </w:t>
      </w:r>
      <w:r>
        <w:rPr>
          <w:bCs/>
          <w:b/>
        </w:rPr>
        <w:t xml:space="preserve">except</w:t>
      </w:r>
      <w:r>
        <w:t xml:space="preserve"> </w:t>
      </w:r>
      <w:r>
        <w:t xml:space="preserve">where the claim comes from our own gross negligence, wilful misconduct, fraud, or breach. If that happens we will tell you and hand you the defence, and you will not settle in a way that binds us without asking.</w:t>
      </w:r>
    </w:p>
    <w:bookmarkEnd w:id="27"/>
    <w:bookmarkStart w:id="28" w:name="disputes"/>
    <w:p>
      <w:pPr>
        <w:pStyle w:val="Heading1"/>
      </w:pPr>
      <w:r>
        <w:t xml:space="preserve">9. Disputes</w:t>
      </w:r>
    </w:p>
    <w:p>
      <w:pPr>
        <w:pStyle w:val="FirstParagraph"/>
      </w:pPr>
      <w:r>
        <w:rPr>
          <w:bCs/>
          <w:b/>
        </w:rPr>
        <w:t xml:space="preserve">Disputes go to individual arbitration, and you give up the right to join a class action.</w:t>
      </w:r>
    </w:p>
    <w:p>
      <w:pPr>
        <w:pStyle w:val="BodyText"/>
      </w:pPr>
      <w:r>
        <w:rPr>
          <w:bCs/>
          <w:b/>
        </w:rPr>
        <w:t xml:space="preserve">First, tell us.</w:t>
      </w:r>
      <w:r>
        <w:t xml:space="preserve"> </w:t>
      </w:r>
      <w:r>
        <w:t xml:space="preserve">Before filing, email</w:t>
      </w:r>
      <w:r>
        <w:t xml:space="preserve"> </w:t>
      </w:r>
      <w:r>
        <w:rPr>
          <w:bCs/>
          <w:b/>
        </w:rPr>
        <w:t xml:space="preserve">legal@[DOMAIN]</w:t>
      </w:r>
      <w:r>
        <w:t xml:space="preserve"> </w:t>
      </w:r>
      <w:r>
        <w:t xml:space="preserve">describing the dispute and what you want. If it is not resolved in</w:t>
      </w:r>
      <w:r>
        <w:t xml:space="preserve"> </w:t>
      </w:r>
      <w:r>
        <w:rPr>
          <w:bCs/>
          <w:b/>
        </w:rPr>
        <w:t xml:space="preserve">60 days</w:t>
      </w:r>
      <w:r>
        <w:t xml:space="preserve">, either of us can start arbitration. This step is required.</w:t>
      </w:r>
    </w:p>
    <w:p>
      <w:pPr>
        <w:pStyle w:val="BodyText"/>
      </w:pPr>
      <w:r>
        <w:rPr>
          <w:bCs/>
          <w:b/>
        </w:rPr>
        <w:t xml:space="preserve">You can opt out of arbitration entirely.</w:t>
      </w:r>
      <w:r>
        <w:t xml:space="preserve"> </w:t>
      </w:r>
      <w:r>
        <w:t xml:space="preserve">Email</w:t>
      </w:r>
      <w:r>
        <w:t xml:space="preserve"> </w:t>
      </w:r>
      <w:r>
        <w:rPr>
          <w:bCs/>
          <w:b/>
        </w:rPr>
        <w:t xml:space="preserve">legal@[DOMAIN]</w:t>
      </w:r>
      <w:r>
        <w:t xml:space="preserve"> </w:t>
      </w:r>
      <w:r>
        <w:t xml:space="preserve">within</w:t>
      </w:r>
      <w:r>
        <w:t xml:space="preserve"> </w:t>
      </w:r>
      <w:r>
        <w:rPr>
          <w:bCs/>
          <w:b/>
        </w:rPr>
        <w:t xml:space="preserve">30 days of first accepting</w:t>
      </w:r>
      <w:r>
        <w:t xml:space="preserve"> </w:t>
      </w:r>
      <w:r>
        <w:t xml:space="preserve">these terms, giving your name, your account email, and a clear statement that you are opting out. It is free and nothing else changes. If we ever materially change the arbitration terms, you get a</w:t>
      </w:r>
      <w:r>
        <w:t xml:space="preserve"> </w:t>
      </w:r>
      <w:r>
        <w:rPr>
          <w:bCs/>
          <w:b/>
        </w:rPr>
        <w:t xml:space="preserve">fresh 30 days</w:t>
      </w:r>
      <w:r>
        <w:t xml:space="preserve"> </w:t>
      </w:r>
      <w:r>
        <w:t xml:space="preserve">to opt out.</w:t>
      </w:r>
    </w:p>
    <w:p>
      <w:pPr>
        <w:pStyle w:val="BodyText"/>
      </w:pPr>
      <w:r>
        <w:rPr>
          <w:bCs/>
          <w:b/>
        </w:rPr>
        <w:t xml:space="preserve">Arbitration is meant to be cheap and local for you.</w:t>
      </w:r>
      <w:r>
        <w:t xml:space="preserve"> </w:t>
      </w:r>
      <w:r>
        <w:t xml:space="preserve">We pay all arbitration fees for claims under</w:t>
      </w:r>
      <w:r>
        <w:t xml:space="preserve"> </w:t>
      </w:r>
      <w:r>
        <w:rPr>
          <w:bCs/>
          <w:b/>
        </w:rPr>
        <w:t xml:space="preserve">US$[10,000]</w:t>
      </w:r>
      <w:r>
        <w:t xml:space="preserve">. Hearings are by phone, video, or on paper unless the arbitrator decides otherwise, and</w:t>
      </w:r>
      <w:r>
        <w:t xml:space="preserve"> </w:t>
      </w:r>
      <w:r>
        <w:rPr>
          <w:bCs/>
          <w:b/>
        </w:rPr>
        <w:t xml:space="preserve">you will never have to travel to [STATE]</w:t>
      </w:r>
      <w:r>
        <w:t xml:space="preserve">.</w:t>
      </w:r>
    </w:p>
    <w:p>
      <w:pPr>
        <w:pStyle w:val="BodyText"/>
      </w:pPr>
      <w:r>
        <w:rPr>
          <w:bCs/>
          <w:b/>
        </w:rPr>
        <w:t xml:space="preserve">Still open to you:</w:t>
      </w:r>
      <w:r>
        <w:t xml:space="preserve"> </w:t>
      </w:r>
      <w:r>
        <w:t xml:space="preserve">small claims court, where you live or work, as long as the claim qualifies there and stays there. Claims alleging</w:t>
      </w:r>
      <w:r>
        <w:t xml:space="preserve"> </w:t>
      </w:r>
      <w:r>
        <w:rPr>
          <w:bCs/>
          <w:b/>
        </w:rPr>
        <w:t xml:space="preserve">sexual</w:t>
      </w:r>
      <w:r>
        <w:t xml:space="preserve"> </w:t>
      </w:r>
      <w:r>
        <w:t xml:space="preserve">assault or</w:t>
      </w:r>
      <w:r>
        <w:t xml:space="preserve"> </w:t>
      </w:r>
      <w:r>
        <w:rPr>
          <w:bCs/>
          <w:b/>
        </w:rPr>
        <w:t xml:space="preserve">sexual</w:t>
      </w:r>
      <w:r>
        <w:t xml:space="preserve"> </w:t>
      </w:r>
      <w:r>
        <w:t xml:space="preserve">harassment — you may choose to keep those out of both arbitration and the class waiver and bring them in court. Either of us can also ask a court for an emergency order to stop misuse of intellectual property, a breach of confidentiality, or a breach of section 4.</w:t>
      </w:r>
    </w:p>
    <w:p>
      <w:pPr>
        <w:pStyle w:val="BodyText"/>
      </w:pPr>
      <w:r>
        <w:rPr>
          <w:bCs/>
          <w:b/>
        </w:rPr>
        <w:t xml:space="preserve">Time limit:</w:t>
      </w:r>
      <w:r>
        <w:t xml:space="preserve"> </w:t>
      </w:r>
      <w:r>
        <w:t xml:space="preserve">claims must be brought within</w:t>
      </w:r>
      <w:r>
        <w:t xml:space="preserve"> </w:t>
      </w:r>
      <w:r>
        <w:rPr>
          <w:bCs/>
          <w:b/>
        </w:rPr>
        <w:t xml:space="preserve">one year</w:t>
      </w:r>
      <w:r>
        <w:t xml:space="preserve"> </w:t>
      </w:r>
      <w:r>
        <w:t xml:space="preserve">of arising, unless the law where you are says otherwise.</w:t>
      </w:r>
    </w:p>
    <w:p>
      <w:pPr>
        <w:pStyle w:val="BodyText"/>
      </w:pPr>
      <w:r>
        <w:t xml:space="preserve">Governed by the laws of</w:t>
      </w:r>
      <w:r>
        <w:t xml:space="preserve"> </w:t>
      </w:r>
      <w:r>
        <w:rPr>
          <w:bCs/>
          <w:b/>
        </w:rPr>
        <w:t xml:space="preserve">[STATE]</w:t>
      </w:r>
      <w:r>
        <w:t xml:space="preserve">; courts in</w:t>
      </w:r>
      <w:r>
        <w:t xml:space="preserve"> </w:t>
      </w:r>
      <w:r>
        <w:rPr>
          <w:bCs/>
          <w:b/>
        </w:rPr>
        <w:t xml:space="preserve">[COUNTY, STATE]</w:t>
      </w:r>
      <w:r>
        <w:t xml:space="preserve"> </w:t>
      </w:r>
      <w:r>
        <w:t xml:space="preserve">if arbitration does not apply. If you are a US government entity, the indemnity, governing-law, and arbitration terms do not apply to you.</w:t>
      </w:r>
    </w:p>
    <w:bookmarkEnd w:id="28"/>
    <w:bookmarkStart w:id="29" w:name="changes-and-ending"/>
    <w:p>
      <w:pPr>
        <w:pStyle w:val="Heading1"/>
      </w:pPr>
      <w:r>
        <w:t xml:space="preserve">10. Changes and ending</w:t>
      </w:r>
    </w:p>
    <w:p>
      <w:pPr>
        <w:pStyle w:val="FirstParagraph"/>
      </w:pPr>
      <w:r>
        <w:t xml:space="preserve">We give</w:t>
      </w:r>
      <w:r>
        <w:t xml:space="preserve"> </w:t>
      </w:r>
      <w:r>
        <w:rPr>
          <w:bCs/>
          <w:b/>
        </w:rPr>
        <w:t xml:space="preserve">[30] days’</w:t>
      </w:r>
      <w:r>
        <w:t xml:space="preserve"> </w:t>
      </w:r>
      <w:r>
        <w:t xml:space="preserve">notice of material changes. If you don’t agree, stop using Bioprium before they take effect. You can close your account any time; we can suspend or end access for breach, or for convenience on</w:t>
      </w:r>
      <w:r>
        <w:t xml:space="preserve"> </w:t>
      </w:r>
      <w:r>
        <w:rPr>
          <w:bCs/>
          <w:b/>
        </w:rPr>
        <w:t xml:space="preserve">[30] days’</w:t>
      </w:r>
      <w:r>
        <w:t xml:space="preserve"> </w:t>
      </w:r>
      <w:r>
        <w:t xml:space="preserve">notice. You then get</w:t>
      </w:r>
      <w:r>
        <w:t xml:space="preserve"> </w:t>
      </w:r>
      <w:r>
        <w:rPr>
          <w:bCs/>
          <w:b/>
        </w:rPr>
        <w:t xml:space="preserve">[30] days</w:t>
      </w:r>
      <w:r>
        <w:t xml:space="preserve"> </w:t>
      </w:r>
      <w:r>
        <w:t xml:space="preserve">to export your data — except where we ended things for a breach of section 4 and releasing the data would risk further harm.</w:t>
      </w:r>
    </w:p>
    <w:p>
      <w:r>
        <w:pict>
          <v:rect style="width:0;height:1.5pt" o:hralign="center" o:hrstd="t" o:hr="t"/>
        </w:pict>
      </w:r>
    </w:p>
    <w:p>
      <w:pPr>
        <w:pStyle w:val="FirstParagraph"/>
      </w:pPr>
      <w:r>
        <w:rPr>
          <w:bCs/>
          <w:b/>
        </w:rPr>
        <w:t xml:space="preserve">Questions:</w:t>
      </w:r>
      <w:r>
        <w:t xml:space="preserve"> </w:t>
      </w:r>
      <w:r>
        <w:t xml:space="preserve">legal@[DOMAIN] ·</w:t>
      </w:r>
      <w:r>
        <w:t xml:space="preserve"> </w:t>
      </w:r>
      <w:r>
        <w:rPr>
          <w:bCs/>
          <w:b/>
        </w:rPr>
        <w:t xml:space="preserve">Privacy:</w:t>
      </w:r>
      <w:r>
        <w:t xml:space="preserve"> </w:t>
      </w:r>
      <w:r>
        <w:t xml:space="preserve">privacy@[DOMAIN] ·</w:t>
      </w:r>
      <w:r>
        <w:t xml:space="preserve"> </w:t>
      </w:r>
      <w:r>
        <w:rPr>
          <w:bCs/>
          <w:b/>
        </w:rPr>
        <w:t xml:space="preserve">Security:</w:t>
      </w:r>
      <w:r>
        <w:t xml:space="preserve"> </w:t>
      </w:r>
      <w:r>
        <w:t xml:space="preserve">security@[DOMAIN] ·</w:t>
      </w:r>
      <w:r>
        <w:t xml:space="preserve"> </w:t>
      </w:r>
      <w:r>
        <w:rPr>
          <w:bCs/>
          <w:b/>
        </w:rPr>
        <w:t xml:space="preserve">Report misuse:</w:t>
      </w:r>
      <w:r>
        <w:t xml:space="preserve"> </w:t>
      </w:r>
      <w:r>
        <w:t xml:space="preserve">[ABUSE EMAIL]</w:t>
      </w:r>
    </w:p>
    <w:p>
      <w:pPr>
        <w:pStyle w:val="BodyText"/>
      </w:pPr>
      <w:r>
        <w:rPr>
          <w:iCs/>
          <w:i/>
        </w:rPr>
        <w:t xml:space="preserve">This summary does not replace the full Terms of Service at [FULL TERMS URL]. Where they differ, the full Terms control.</w:t>
      </w:r>
    </w:p>
    <w:bookmarkEnd w:id="29"/>
    <w:sectPr>
      <w:headerReference w:type="default" r:id="rId9"/>
      <w:footerReference w:type="default" r:id="rId10"/>
      <w:pgSz w:w="12240" w:h="15840"/>
      <w:pgMar w:top="1440" w:right="1440" w:bottom="1440" w:left="1440"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pBdr>
        <w:top w:val="single" w:sz="4" w:color="DFE3E8"/>
      </w:pBdr>
      <w:tabs>
        <w:tab w:val="right" w:pos="9360"/>
      </w:tabs>
      <w:spacing w:before="120"/>
    </w:pPr>
    <w:r>
      <w:rPr>
        <w:sz w:val="16"/>
        <w:szCs w:val="16"/>
        <w:color w:val="8B93A1"/>
      </w:rPr>
      <w:t xml:space="preserve">CONFIDENTIAL DRAFT — FOR COUNSEL REVIEW. NOT LEGAL ADVICE.</w:t>
    </w:r>
    <w:r>
      <w:rPr>
        <w:sz w:val="16"/>
        <w:szCs w:val="16"/>
        <w:color w:val="8B93A1"/>
      </w:rPr>
      <w:tab/>
      <w:t xml:space="preserve">Page </w:t>
    </w:r>
    <w:r>
      <w:rPr>
        <w:sz w:val="16"/>
        <w:szCs w:val="16"/>
        <w:color w:val="8B93A1"/>
      </w:rPr>
      <w:fldChar w:fldCharType="begin"/>
    </w:r>
    <w:r>
      <w:rPr>
        <w:sz w:val="16"/>
        <w:szCs w:val="16"/>
        <w:color w:val="8B93A1"/>
      </w:rPr>
      <w:instrText xml:space="preserve"> PAGE </w:instrText>
    </w:r>
    <w:r>
      <w:rPr>
        <w:sz w:val="16"/>
        <w:szCs w:val="16"/>
        <w:color w:val="8B93A1"/>
      </w:rPr>
      <w:fldChar w:fldCharType="end"/>
    </w:r>
    <w:r>
      <w:rPr>
        <w:sz w:val="16"/>
        <w:szCs w:val="16"/>
        <w:color w:val="8B93A1"/>
      </w:rPr>
      <w:t xml:space="preserve"> of </w:t>
    </w:r>
    <w:r>
      <w:rPr>
        <w:sz w:val="16"/>
        <w:szCs w:val="16"/>
        <w:color w:val="8B93A1"/>
      </w:rPr>
      <w:fldChar w:fldCharType="begin"/>
    </w:r>
    <w:r>
      <w:rPr>
        <w:sz w:val="16"/>
        <w:szCs w:val="16"/>
        <w:color w:val="8B93A1"/>
      </w:rPr>
      <w:instrText xml:space="preserve"> NUMPAGES </w:instrText>
    </w:r>
    <w:r>
      <w:rPr>
        <w:sz w:val="16"/>
        <w:szCs w:val="16"/>
        <w:color w:val="8B93A1"/>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Bdr>
        <w:bottom w:val="single" w:sz="4" w:color="DFE3E8"/>
      </w:pBdr>
      <w:tabs>
        <w:tab w:val="right" w:pos="9360"/>
      </w:tabs>
      <w:spacing w:after="180"/>
    </w:pPr>
    <w:r>
      <w:rPr>
        <w:sz w:val="16"/>
        <w:szCs w:val="16"/>
        <w:color w:val="8B93A1"/>
      </w:rPr>
      <w:t xml:space="preserve">BIOPRIUM — PRIVACY POLICY</w:t>
    </w:r>
    <w:r>
      <w:rPr>
        <w:sz w:val="16"/>
        <w:szCs w:val="16"/>
        <w:color w:val="8B93A1"/>
      </w:rPr>
      <w:tab/>
      <w:t xml:space="preserve">Version 1.0 · [EFFECTIVE DATE]</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sz w:val="21"/>
        <w:szCs w:val="21"/>
        <w:lang w:bidi="ar-SA" w:eastAsia="en-US" w:val="en-US"/>
      </w:rPr>
    </w:rPrDefault>
    <w:pPrDefault>
      <w:pPr>
        <w:spacing w:after="140" w:line="26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40" w:before="0"/>
    </w:pPr>
    <w:qFormat/>
    <w:rPr>
      <w:sz w:val="20"/>
      <w:szCs w:val="20"/>
    </w:r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100" w:before="0"/>
      <w:jc w:val="center"/>
    </w:pPr>
    <w:rPr>
      <w:b/>
      <w:color w:val="14161A"/>
      <w:sz w:val="52"/>
      <w:szCs w:val="52"/>
    </w:rPr>
  </w:style>
  <w:style w:styleId="Subtitle" w:type="paragraph">
    <w:name w:val="Subtitle"/>
    <w:basedOn w:val="Title"/>
    <w:next w:val="BodyText"/>
    <w:qFormat/>
    <w:pPr>
      <w:keepNext/>
      <w:keepLines/>
      <w:spacing w:after="260" w:before="0"/>
      <w:jc w:val="center"/>
    </w:pPr>
    <w:rPr>
      <w:b w:val="0"/>
      <w:color w:val="5D6470"/>
      <w:sz w:val="24"/>
      <w:szCs w:val="24"/>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70" w:before="340"/>
      <w:outlineLvl w:val="0"/>
    </w:pPr>
    <w:rPr>
      <w:b/>
      <w:smallCaps/>
      <w:color w:val="14161A"/>
      <w:sz w:val="30"/>
      <w:szCs w:val="30"/>
    </w:rPr>
  </w:style>
  <w:style w:styleId="Heading2" w:type="paragraph">
    <w:name w:val="Heading 2"/>
    <w:basedOn w:val="Normal"/>
    <w:next w:val="BodyText"/>
    <w:uiPriority w:val="9"/>
    <w:unhideWhenUsed/>
    <w:qFormat/>
    <w:pPr>
      <w:keepNext/>
      <w:keepLines/>
      <w:spacing w:after="140" w:before="300"/>
      <w:outlineLvl w:val="1"/>
    </w:pPr>
    <w:rPr>
      <w:b/>
      <w:color w:val="14161A"/>
      <w:sz w:val="25"/>
      <w:szCs w:val="25"/>
    </w:rPr>
  </w:style>
  <w:style w:styleId="Heading3" w:type="paragraph">
    <w:name w:val="Heading 3"/>
    <w:basedOn w:val="Normal"/>
    <w:next w:val="BodyText"/>
    <w:uiPriority w:val="9"/>
    <w:unhideWhenUsed/>
    <w:qFormat/>
    <w:pPr>
      <w:keepNext/>
      <w:keepLines/>
      <w:spacing w:after="110" w:before="240"/>
      <w:outlineLvl w:val="2"/>
    </w:pPr>
    <w:rPr>
      <w:b/>
      <w:color w:val="1A4D8F"/>
      <w:sz w:val="22"/>
      <w:szCs w:val="22"/>
    </w:rPr>
  </w:style>
  <w:style w:styleId="Heading4" w:type="paragraph">
    <w:name w:val="Heading 4"/>
    <w:basedOn w:val="Normal"/>
    <w:next w:val="BodyText"/>
    <w:uiPriority w:val="9"/>
    <w:unhideWhenUsed/>
    <w:qFormat/>
    <w:pPr>
      <w:keepNext/>
      <w:keepLines/>
      <w:spacing w:after="90" w:before="200"/>
      <w:outlineLvl w:val="3"/>
    </w:pPr>
    <w:rPr>
      <w:b/>
      <w:color w:val="14161A"/>
      <w:sz w:val="21"/>
      <w:szCs w:val="21"/>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40" w:before="140"/>
      <w:ind w:firstLine="0" w:left="480" w:right="480"/>
    </w:pPr>
    <w:rPr>
      <w:i/>
      <w:color w:val="5D6470"/>
      <w:sz w:val="20"/>
      <w:szCs w:val="20"/>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BiopriumTable" w:type="table">
    <w:name w:val="Bioprium Table"/>
    <w:basedOn w:val="Table"/>
    <w:tblPr>
      <w:tblBorders>
        <w:top w:color="D8DCE2" w:sz="4" w:val="single"/>
        <w:left w:color="D8DCE2" w:sz="4" w:val="single"/>
        <w:bottom w:color="D8DCE2" w:sz="4" w:val="single"/>
        <w:right w:color="D8DCE2" w:sz="4" w:val="single"/>
        <w:insideH w:color="E8EBEF" w:sz="4" w:val="single"/>
        <w:insideV w:color="E8EBEF" w:sz="4" w:val="single"/>
      </w:tblBorders>
      <w:tblCellMar>
        <w:top w:type="dxa" w:w="72"/>
        <w:left w:type="dxa" w:w="108"/>
        <w:bottom w:type="dxa" w:w="72"/>
        <w:right w:type="dxa" w:w="108"/>
      </w:tblCellMar>
    </w:tblPr>
    <w:tblStylePr w:type="firstRow">
      <w:rPr>
        <w:b/>
      </w:rPr>
      <w:tcPr>
        <w:shd w:color="auto" w:fill="F2F4F7"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 — Short Form</dc:title>
  <dc:creator/>
  <cp:keywords/>
  <dcterms:created xsi:type="dcterms:W3CDTF">2026-08-14T05:17:21Z</dcterms:created>
  <dcterms:modified xsi:type="dcterms:W3CDTF">2026-08-14T05:17:21Z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Bioprium — [LEGAL ENTITY NAME]</vt:lpwstr>
  </property>
</Properties>
</file>